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69" w:rsidRDefault="00D80B69" w:rsidP="00D80B6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070BA6" w:rsidRDefault="00D80B69" w:rsidP="00D80B6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ЕКОНОМІКИ </w:t>
      </w:r>
      <w:r w:rsidR="00070BA6">
        <w:rPr>
          <w:b/>
          <w:sz w:val="28"/>
          <w:szCs w:val="28"/>
          <w:lang w:val="uk-UA"/>
        </w:rPr>
        <w:t xml:space="preserve">ТА ІНВЕСТИЦІЙНОЇ ДІЯЛЬНОСТІ </w:t>
      </w:r>
    </w:p>
    <w:p w:rsidR="00D80B69" w:rsidRDefault="00D80B69" w:rsidP="00D80B6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070BA6" w:rsidRPr="00FB04BB">
        <w:rPr>
          <w:b/>
          <w:sz w:val="28"/>
          <w:szCs w:val="28"/>
        </w:rPr>
        <w:t>ЛИСТОПАД</w:t>
      </w:r>
      <w:r>
        <w:rPr>
          <w:b/>
          <w:sz w:val="28"/>
          <w:szCs w:val="28"/>
          <w:lang w:val="uk-UA"/>
        </w:rPr>
        <w:t xml:space="preserve"> 2019 РОКУ</w:t>
      </w:r>
    </w:p>
    <w:p w:rsidR="00D80B69" w:rsidRDefault="00D80B69" w:rsidP="00D80B69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80B69" w:rsidRPr="00F13FB4" w:rsidRDefault="00D80B69" w:rsidP="00D80B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3FB4">
        <w:rPr>
          <w:rFonts w:ascii="Times New Roman" w:hAnsi="Times New Roman" w:cs="Times New Roman"/>
          <w:b/>
          <w:sz w:val="26"/>
          <w:szCs w:val="26"/>
          <w:lang w:val="uk-UA"/>
        </w:rPr>
        <w:t>Підготовлені та винесені на засідання виконавчого комітету проекти рішень:</w:t>
      </w:r>
    </w:p>
    <w:p w:rsidR="00D80B69" w:rsidRPr="00F13FB4" w:rsidRDefault="00070BA6" w:rsidP="00D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0B69" w:rsidRPr="00F13FB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D80B69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Про </w:t>
      </w:r>
      <w:r w:rsidR="002713C8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організацію проведення в місті </w:t>
      </w:r>
      <w:r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Новорічного ярмарку</w:t>
      </w:r>
      <w:r w:rsidR="00D80B69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»;</w:t>
      </w:r>
    </w:p>
    <w:p w:rsidR="00D80B69" w:rsidRPr="00F13FB4" w:rsidRDefault="00D80B69" w:rsidP="00F13F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>«П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ро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тарифів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теплову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енергію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виробляється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на установках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використанням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альтернативних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джерел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енергії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r w:rsidR="00070BA6" w:rsidRPr="00F13FB4">
        <w:rPr>
          <w:rFonts w:ascii="Times New Roman" w:hAnsi="Times New Roman" w:cs="Times New Roman"/>
          <w:sz w:val="26"/>
          <w:szCs w:val="26"/>
          <w:lang w:val="uk-UA"/>
        </w:rPr>
        <w:t>ПП «</w:t>
      </w:r>
      <w:proofErr w:type="spellStart"/>
      <w:r w:rsidR="00070BA6" w:rsidRPr="00F13FB4">
        <w:rPr>
          <w:rFonts w:ascii="Times New Roman" w:hAnsi="Times New Roman" w:cs="Times New Roman"/>
          <w:bCs/>
          <w:color w:val="000000"/>
          <w:sz w:val="26"/>
          <w:szCs w:val="26"/>
        </w:rPr>
        <w:t>Тепло-енергія</w:t>
      </w:r>
      <w:proofErr w:type="spellEnd"/>
      <w:r w:rsidR="00070BA6" w:rsidRPr="00F13F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Плюс»</w:t>
      </w:r>
      <w:r w:rsidR="001543FA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;</w:t>
      </w:r>
    </w:p>
    <w:p w:rsidR="001543FA" w:rsidRPr="00F13FB4" w:rsidRDefault="001543FA" w:rsidP="00D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«Про встановлення </w:t>
      </w:r>
      <w:r w:rsidR="00FB04BB" w:rsidRPr="00F13FB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>ежиму роботи»</w:t>
      </w:r>
    </w:p>
    <w:p w:rsidR="002713C8" w:rsidRPr="00F13FB4" w:rsidRDefault="002713C8" w:rsidP="00D80B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b/>
          <w:sz w:val="26"/>
          <w:szCs w:val="26"/>
          <w:lang w:val="uk-UA"/>
        </w:rPr>
        <w:t>Підготовлені та винесені на засідання міської ради проекти рішень:</w:t>
      </w:r>
    </w:p>
    <w:p w:rsidR="00070BA6" w:rsidRPr="00F13FB4" w:rsidRDefault="00F13FB4" w:rsidP="00F13FB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070BA6" w:rsidRPr="00F13FB4">
        <w:rPr>
          <w:rFonts w:ascii="Times New Roman" w:hAnsi="Times New Roman"/>
          <w:sz w:val="26"/>
          <w:szCs w:val="26"/>
          <w:lang w:val="uk-UA"/>
        </w:rPr>
        <w:t>Про затвердження Програми економічного і</w:t>
      </w:r>
      <w:r w:rsidRPr="00F13FB4">
        <w:rPr>
          <w:rFonts w:ascii="Times New Roman" w:hAnsi="Times New Roman"/>
          <w:sz w:val="26"/>
          <w:szCs w:val="26"/>
          <w:lang w:val="uk-UA"/>
        </w:rPr>
        <w:t xml:space="preserve"> соціального розвитку </w:t>
      </w:r>
      <w:r w:rsidR="00070BA6" w:rsidRPr="00F13FB4">
        <w:rPr>
          <w:rFonts w:ascii="Times New Roman" w:hAnsi="Times New Roman"/>
          <w:sz w:val="26"/>
          <w:szCs w:val="26"/>
          <w:lang w:val="uk-UA"/>
        </w:rPr>
        <w:t>Ніжинської міської об’єднаної територіальної громади на 2020 рік</w:t>
      </w:r>
      <w:r w:rsidR="00070BA6" w:rsidRPr="00F13FB4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816A9" w:rsidRPr="00F13FB4" w:rsidRDefault="00F13FB4" w:rsidP="00F13F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070BA6"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0BA6" w:rsidRPr="00F13FB4">
        <w:rPr>
          <w:rFonts w:ascii="Times New Roman" w:hAnsi="Times New Roman"/>
          <w:sz w:val="26"/>
          <w:szCs w:val="26"/>
          <w:lang w:val="uk-UA"/>
        </w:rPr>
        <w:t>Про внесення змін в додаток №21 «Програма розвитку малого та середнього підприємництва у м. Ніжині на 2017-2020 роки» до рішення Ніжинської міської ради №8 -19/2016 від 26 грудня 2016 р. «Про затвердження бюджетних програм місцевого значення на 2017 рік</w:t>
      </w:r>
      <w:r w:rsidR="009816A9" w:rsidRPr="00F13FB4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816A9" w:rsidRPr="00F13FB4" w:rsidRDefault="00F13FB4" w:rsidP="00F13F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070BA6" w:rsidRPr="00F13FB4">
        <w:rPr>
          <w:rFonts w:ascii="Times New Roman" w:hAnsi="Times New Roman"/>
          <w:sz w:val="26"/>
          <w:szCs w:val="26"/>
          <w:lang w:val="uk-UA"/>
        </w:rPr>
        <w:t>Про затвердження плану діяльності з підготовки проектів регуляторних актів на 2020 рік</w:t>
      </w:r>
      <w:r w:rsidR="009816A9" w:rsidRPr="00F13F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5102E" w:rsidRPr="00F13FB4" w:rsidRDefault="00D80B69" w:rsidP="00D80B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13FB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Проаналізовані </w:t>
      </w:r>
      <w:r w:rsidR="0035102E" w:rsidRPr="00F13FB4">
        <w:rPr>
          <w:rFonts w:ascii="Times New Roman" w:eastAsia="Calibri" w:hAnsi="Times New Roman" w:cs="Times New Roman"/>
          <w:b/>
          <w:sz w:val="26"/>
          <w:szCs w:val="26"/>
          <w:lang w:val="uk-UA"/>
        </w:rPr>
        <w:t>:</w:t>
      </w:r>
    </w:p>
    <w:p w:rsidR="00FB04BB" w:rsidRPr="00F13FB4" w:rsidRDefault="00D80B69" w:rsidP="006D4E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розрахунки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тарифів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теплову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енергію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виробляється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на установках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використанням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альтернативних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джерел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4BB" w:rsidRPr="00F13FB4">
        <w:rPr>
          <w:rFonts w:ascii="Times New Roman" w:hAnsi="Times New Roman" w:cs="Times New Roman"/>
          <w:sz w:val="26"/>
          <w:szCs w:val="26"/>
        </w:rPr>
        <w:t>енергії</w:t>
      </w:r>
      <w:proofErr w:type="spellEnd"/>
      <w:r w:rsidR="00FB04BB" w:rsidRPr="00F13FB4">
        <w:rPr>
          <w:rFonts w:ascii="Times New Roman" w:hAnsi="Times New Roman" w:cs="Times New Roman"/>
          <w:sz w:val="26"/>
          <w:szCs w:val="26"/>
        </w:rPr>
        <w:t xml:space="preserve"> </w:t>
      </w:r>
      <w:r w:rsidR="00FB04BB" w:rsidRPr="00F13FB4">
        <w:rPr>
          <w:rFonts w:ascii="Times New Roman" w:hAnsi="Times New Roman" w:cs="Times New Roman"/>
          <w:sz w:val="26"/>
          <w:szCs w:val="26"/>
          <w:lang w:val="uk-UA"/>
        </w:rPr>
        <w:t>ПП «</w:t>
      </w:r>
      <w:proofErr w:type="spellStart"/>
      <w:r w:rsidR="00FB04BB" w:rsidRPr="00F13FB4">
        <w:rPr>
          <w:rFonts w:ascii="Times New Roman" w:hAnsi="Times New Roman" w:cs="Times New Roman"/>
          <w:bCs/>
          <w:color w:val="000000"/>
          <w:sz w:val="26"/>
          <w:szCs w:val="26"/>
        </w:rPr>
        <w:t>Тепло-енергія</w:t>
      </w:r>
      <w:proofErr w:type="spellEnd"/>
      <w:r w:rsidR="00FB04BB" w:rsidRPr="00F13F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Плюс»</w:t>
      </w:r>
      <w:r w:rsidR="00FB04BB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 w:rsidR="00FB04BB" w:rsidRPr="00F13FB4">
        <w:rPr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6D4E37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ФОП</w:t>
      </w:r>
      <w:proofErr w:type="spellEnd"/>
      <w:r w:rsidR="006D4E37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6D4E37" w:rsidRPr="00F13FB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Ворошилова</w:t>
      </w:r>
      <w:proofErr w:type="spellEnd"/>
      <w:r w:rsidR="006D4E37" w:rsidRPr="00F13FB4">
        <w:rPr>
          <w:bCs/>
          <w:color w:val="000000"/>
          <w:sz w:val="26"/>
          <w:szCs w:val="26"/>
          <w:lang w:val="uk-UA"/>
        </w:rPr>
        <w:t xml:space="preserve"> </w:t>
      </w:r>
      <w:r w:rsidR="009816A9"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підготовлен</w:t>
      </w:r>
      <w:r w:rsidR="006D4E37"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і</w:t>
      </w:r>
      <w:r w:rsidR="009816A9"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проект</w:t>
      </w:r>
      <w:r w:rsidR="006D4E37"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="009816A9"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 виконкому</w:t>
      </w:r>
      <w:r w:rsidR="00FB04BB"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35102E" w:rsidRPr="00F13FB4" w:rsidRDefault="00F13FB4" w:rsidP="00F13F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та </w:t>
      </w:r>
      <w:r w:rsidR="0035102E"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перевірені фінансові плани комунальних підприємств на 2020 роки, підготовлений проект рішення виконкому.</w:t>
      </w:r>
    </w:p>
    <w:p w:rsidR="0035102E" w:rsidRPr="00F13FB4" w:rsidRDefault="0035102E" w:rsidP="0035102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35102E" w:rsidRPr="00F13FB4" w:rsidRDefault="0035102E" w:rsidP="00F13FB4">
      <w:pPr>
        <w:spacing w:after="0" w:line="240" w:lineRule="auto"/>
        <w:ind w:left="-284" w:firstLine="64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3FB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Організоване </w:t>
      </w:r>
      <w:r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 проведене організаційне засідання оновленої Ради підприємців. </w:t>
      </w:r>
    </w:p>
    <w:p w:rsidR="0035102E" w:rsidRPr="00F13FB4" w:rsidRDefault="0035102E" w:rsidP="0035102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50DC7" w:rsidRPr="00F13FB4" w:rsidRDefault="00550DC7" w:rsidP="00550DC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Продовжується 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>координація роботи по: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0"/>
        <w:gridCol w:w="251"/>
        <w:gridCol w:w="142"/>
      </w:tblGrid>
      <w:tr w:rsidR="00550DC7" w:rsidRPr="00F13FB4" w:rsidTr="00F13FB4">
        <w:tc>
          <w:tcPr>
            <w:tcW w:w="9923" w:type="dxa"/>
            <w:gridSpan w:val="3"/>
            <w:shd w:val="clear" w:color="auto" w:fill="auto"/>
          </w:tcPr>
          <w:p w:rsidR="00550DC7" w:rsidRPr="00F13FB4" w:rsidRDefault="00550DC7" w:rsidP="00F13FB4">
            <w:pPr>
              <w:pStyle w:val="3"/>
              <w:shd w:val="clear" w:color="auto" w:fill="FEFEFE"/>
              <w:ind w:right="-501"/>
              <w:jc w:val="both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F13FB4">
              <w:rPr>
                <w:b w:val="0"/>
                <w:sz w:val="26"/>
                <w:szCs w:val="26"/>
              </w:rPr>
              <w:t>-</w:t>
            </w:r>
            <w:r w:rsidRPr="00F13FB4">
              <w:rPr>
                <w:sz w:val="26"/>
                <w:szCs w:val="26"/>
              </w:rPr>
              <w:t xml:space="preserve"> </w:t>
            </w:r>
            <w:r w:rsidRPr="00F13FB4">
              <w:rPr>
                <w:b w:val="0"/>
                <w:sz w:val="26"/>
                <w:szCs w:val="26"/>
              </w:rPr>
              <w:t>поданим до регіональній комісії з оцінки та відбору проектів та які можуть бути реалізовані в 2020 році за рахунок коштів ДФРР. (Проект реконструкція дитячого садка, м. Ніжин, вул. Шевченко, 97 Е).</w:t>
            </w:r>
          </w:p>
        </w:tc>
      </w:tr>
      <w:tr w:rsidR="00550DC7" w:rsidRPr="00F13FB4" w:rsidTr="00F13FB4">
        <w:tc>
          <w:tcPr>
            <w:tcW w:w="9923" w:type="dxa"/>
            <w:gridSpan w:val="3"/>
            <w:shd w:val="clear" w:color="auto" w:fill="auto"/>
          </w:tcPr>
          <w:p w:rsidR="00550DC7" w:rsidRPr="00F13FB4" w:rsidRDefault="00550DC7" w:rsidP="00550DC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співпраці з «НЕФКО» в рамках кредитної програми «</w:t>
            </w:r>
            <w:r w:rsidRPr="00F13FB4">
              <w:rPr>
                <w:rFonts w:ascii="Times New Roman" w:eastAsia="Garamond" w:hAnsi="Times New Roman"/>
                <w:color w:val="000000"/>
                <w:sz w:val="26"/>
                <w:szCs w:val="26"/>
                <w:lang w:val="uk-UA"/>
              </w:rPr>
              <w:t>Підвищення енергоефективності в м. Ніжині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по комплексній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термомодернізації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школи № 10 та здійснюється підготовка актів виконаних робіт для отримання 2 траншу кредиту.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рийма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є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ть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ся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постійн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участь у виїзних технічних нарадах на об’єкт, де проводяться будівельні роботи і разом з технічними консультантами проекту б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уло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перевірено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роботи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по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утепленню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фасадів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налаштування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ІТП,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технологію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встановлення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вікон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рекуператорів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температурні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режими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класах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приміщення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технологію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>утеплення</w:t>
            </w:r>
            <w:proofErr w:type="spellEnd"/>
            <w:r w:rsidRPr="00F13FB4">
              <w:rPr>
                <w:rFonts w:ascii="Times New Roman" w:hAnsi="Times New Roman"/>
                <w:color w:val="1C1E21"/>
                <w:sz w:val="26"/>
                <w:szCs w:val="26"/>
                <w:shd w:val="clear" w:color="auto" w:fill="FFFFFF"/>
              </w:rPr>
              <w:t xml:space="preserve"> горища</w:t>
            </w:r>
          </w:p>
        </w:tc>
      </w:tr>
      <w:tr w:rsidR="00550DC7" w:rsidRPr="00F13FB4" w:rsidTr="00F13FB4">
        <w:tc>
          <w:tcPr>
            <w:tcW w:w="9923" w:type="dxa"/>
            <w:gridSpan w:val="3"/>
            <w:shd w:val="clear" w:color="auto" w:fill="auto"/>
          </w:tcPr>
          <w:p w:rsidR="00550DC7" w:rsidRPr="00F13FB4" w:rsidRDefault="00550DC7" w:rsidP="00550DC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- 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проект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ПРООН </w:t>
            </w:r>
            <w:r w:rsidRPr="00F13FB4">
              <w:rPr>
                <w:rStyle w:val="hps"/>
                <w:rFonts w:ascii="Times New Roman" w:hAnsi="Times New Roman"/>
                <w:b/>
                <w:color w:val="000000" w:themeColor="text1"/>
                <w:sz w:val="26"/>
                <w:szCs w:val="26"/>
                <w:lang w:val="uk-UA"/>
              </w:rPr>
              <w:t>«</w:t>
            </w:r>
            <w:r w:rsidRPr="00F13FB4">
              <w:rPr>
                <w:rStyle w:val="hps"/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Розвиток та комерціалізація біоенергетичних технологій у муніципальному секторі в Україні</w:t>
            </w:r>
            <w:r w:rsidRPr="00F13FB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». 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 рамках проекту спільно з кваліфікованими  спеціалістами проекту було розроблено техніко-економічне </w:t>
            </w:r>
            <w:proofErr w:type="spellStart"/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обгрунтування</w:t>
            </w:r>
            <w:proofErr w:type="spellEnd"/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щодо доцільності переведення на використання біопалива котелень по вул. Прилуцька та Гайдамацька, що забезпечують теплом будинки жителів 2-х мікрорайонів міста. Проводиться збір інформації по постачальникам опалювальної сировини (лушпиння соняшника, тощо).</w:t>
            </w:r>
          </w:p>
        </w:tc>
      </w:tr>
      <w:tr w:rsidR="00550DC7" w:rsidRPr="00F13FB4" w:rsidTr="00F13FB4">
        <w:trPr>
          <w:gridAfter w:val="1"/>
          <w:wAfter w:w="142" w:type="dxa"/>
        </w:trPr>
        <w:tc>
          <w:tcPr>
            <w:tcW w:w="9781" w:type="dxa"/>
            <w:gridSpan w:val="2"/>
            <w:shd w:val="clear" w:color="auto" w:fill="auto"/>
          </w:tcPr>
          <w:p w:rsidR="00550DC7" w:rsidRPr="00F13FB4" w:rsidRDefault="006D4E37" w:rsidP="006D4E37">
            <w:pPr>
              <w:pStyle w:val="a3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 </w:t>
            </w:r>
            <w:r w:rsidR="00F721A5"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«Плану місцевого економічного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розвитку» в рамках Європейської </w:t>
            </w:r>
            <w:r w:rsidR="00F721A5"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ініціативи «Мери за економічне зростання».</w:t>
            </w:r>
          </w:p>
        </w:tc>
      </w:tr>
      <w:tr w:rsidR="00550DC7" w:rsidRPr="00F13FB4" w:rsidTr="00F13FB4">
        <w:trPr>
          <w:gridAfter w:val="1"/>
          <w:wAfter w:w="142" w:type="dxa"/>
        </w:trPr>
        <w:tc>
          <w:tcPr>
            <w:tcW w:w="9781" w:type="dxa"/>
            <w:gridSpan w:val="2"/>
            <w:shd w:val="clear" w:color="auto" w:fill="auto"/>
          </w:tcPr>
          <w:p w:rsidR="00550DC7" w:rsidRPr="00F13FB4" w:rsidRDefault="00F721A5" w:rsidP="00F721A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виконанн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ю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Стратегії Ніжинської міської ОТГ, яка була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затверджена </w:t>
            </w:r>
            <w:r w:rsidRPr="00F13FB4">
              <w:rPr>
                <w:rStyle w:val="textexposedshow"/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26.06.2019 р. Наразі готується звіт за півріччя по реалізації завдань Стратегії</w:t>
            </w:r>
          </w:p>
        </w:tc>
      </w:tr>
      <w:tr w:rsidR="00550DC7" w:rsidRPr="00F13FB4" w:rsidTr="00F13FB4">
        <w:trPr>
          <w:gridAfter w:val="1"/>
          <w:wAfter w:w="142" w:type="dxa"/>
        </w:trPr>
        <w:tc>
          <w:tcPr>
            <w:tcW w:w="9781" w:type="dxa"/>
            <w:gridSpan w:val="2"/>
          </w:tcPr>
          <w:p w:rsidR="00550DC7" w:rsidRPr="00F13FB4" w:rsidRDefault="00F721A5" w:rsidP="00F721A5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відкрит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ому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творч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ому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конкурс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 визначення розробника бренду і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брендбуку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для міста Ніжина. На даний час закінчено другий</w:t>
            </w:r>
            <w:r w:rsidRPr="00F13FB4">
              <w:rPr>
                <w:sz w:val="26"/>
                <w:szCs w:val="26"/>
                <w:lang w:val="uk-UA"/>
              </w:rPr>
              <w:t xml:space="preserve">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етап, на якому мешканці міста голосували за роботи, що були подані на Конкурс</w:t>
            </w:r>
            <w:r w:rsidRPr="00F13FB4">
              <w:rPr>
                <w:rStyle w:val="textexposedshow"/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  <w:tr w:rsidR="00550DC7" w:rsidRPr="00F13FB4" w:rsidTr="00F13FB4">
        <w:trPr>
          <w:gridAfter w:val="1"/>
          <w:wAfter w:w="142" w:type="dxa"/>
        </w:trPr>
        <w:tc>
          <w:tcPr>
            <w:tcW w:w="9781" w:type="dxa"/>
            <w:gridSpan w:val="2"/>
          </w:tcPr>
          <w:p w:rsidR="00550DC7" w:rsidRPr="00F13FB4" w:rsidRDefault="00306119" w:rsidP="00306119">
            <w:pPr>
              <w:pStyle w:val="a3"/>
              <w:numPr>
                <w:ilvl w:val="0"/>
                <w:numId w:val="1"/>
              </w:numPr>
              <w:ind w:left="3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-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впровадження проекту «Е-рішення для громад» </w:t>
            </w:r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за підтримки програми «U-LEAD з Європою». На даний час ведеться робота по використанню наданих програмно-апаратних комплексів у Ніжинській міській ОТГ.</w:t>
            </w:r>
          </w:p>
        </w:tc>
      </w:tr>
      <w:tr w:rsidR="00306119" w:rsidRPr="00F13FB4" w:rsidTr="00F13FB4">
        <w:trPr>
          <w:gridAfter w:val="1"/>
          <w:wAfter w:w="142" w:type="dxa"/>
          <w:trHeight w:val="540"/>
        </w:trPr>
        <w:tc>
          <w:tcPr>
            <w:tcW w:w="9781" w:type="dxa"/>
            <w:gridSpan w:val="2"/>
          </w:tcPr>
          <w:p w:rsidR="00306119" w:rsidRPr="00F13FB4" w:rsidRDefault="00306119" w:rsidP="00BA0A78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F13FB4">
              <w:rPr>
                <w:b w:val="0"/>
                <w:sz w:val="26"/>
                <w:szCs w:val="26"/>
              </w:rPr>
              <w:t xml:space="preserve">     -</w:t>
            </w:r>
            <w:r w:rsidRPr="00F13FB4">
              <w:rPr>
                <w:b w:val="0"/>
                <w:sz w:val="26"/>
                <w:szCs w:val="26"/>
              </w:rPr>
              <w:t xml:space="preserve"> </w:t>
            </w:r>
            <w:r w:rsidRPr="00F13FB4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участі міста у </w:t>
            </w:r>
            <w:r w:rsidRPr="00F13FB4">
              <w:rPr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проекті ЄС/ПРООН «Об’єднання співвласників будинків для впровадження сталих </w:t>
            </w:r>
            <w:proofErr w:type="spellStart"/>
            <w:r w:rsidRPr="00F13FB4">
              <w:rPr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енергоефективних</w:t>
            </w:r>
            <w:proofErr w:type="spellEnd"/>
            <w:r w:rsidRPr="00F13FB4">
              <w:rPr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рішень (HOUSES)». В рамках даного проекту 8 нових ОСББ було створено та проводяться постійні тренінги та семінари щодо впорядкування роботи ОСББ.</w:t>
            </w:r>
          </w:p>
        </w:tc>
      </w:tr>
      <w:tr w:rsidR="00550DC7" w:rsidRPr="00F13FB4" w:rsidTr="00F13FB4">
        <w:trPr>
          <w:gridAfter w:val="1"/>
          <w:wAfter w:w="142" w:type="dxa"/>
          <w:trHeight w:val="1045"/>
        </w:trPr>
        <w:tc>
          <w:tcPr>
            <w:tcW w:w="9781" w:type="dxa"/>
            <w:gridSpan w:val="2"/>
          </w:tcPr>
          <w:p w:rsidR="00306119" w:rsidRPr="00F13FB4" w:rsidRDefault="00306119" w:rsidP="00BA0A7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проект</w:t>
            </w:r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у</w:t>
            </w:r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Глобал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Ком'юнітіз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Global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Communities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) та ДІЄМО. В рамках співпраці було розроблено та розповсюджено серед мешканців міста буклети «Бюджет для громадян», що дасть змогу кожному контролювати як витрачаються кошти у громаді; а також прийнято Порядок проведення антикорупційної експертизи та Порядок запобігання та врегулювання конфліктів інтересів. В рамках проекту Ніжинська громада була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номінована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у двох номінаціях та отримала відзнаку на конкурсі «Бюджетна прозорість» в номінації «Найактивніша громада у прийнятті антикорупційних інструментів»</w:t>
            </w:r>
          </w:p>
          <w:p w:rsidR="00550DC7" w:rsidRPr="00F13FB4" w:rsidRDefault="00306119" w:rsidP="0030611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uk-UA"/>
              </w:rPr>
              <w:t>Підготовлена та подана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заявк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до Фінсько-українського трастового фонду щодо переведення котелень з газу на біопаливо по вул. Прилуцькій, 133 та Гайдамацькій, 25.</w:t>
            </w:r>
          </w:p>
          <w:p w:rsidR="006D4E37" w:rsidRPr="00F13FB4" w:rsidRDefault="006D4E37" w:rsidP="0030611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6D4E37" w:rsidRPr="00F13FB4" w:rsidRDefault="006D4E37" w:rsidP="006D4E37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uk-UA"/>
              </w:rPr>
              <w:t>П</w:t>
            </w:r>
            <w:r w:rsidRPr="00F13FB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uk-UA"/>
              </w:rPr>
              <w:t>роводилась робота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по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:</w:t>
            </w:r>
          </w:p>
          <w:p w:rsidR="006D4E37" w:rsidRPr="00F13FB4" w:rsidRDefault="006D4E37" w:rsidP="006D4E37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залученню до пайової участі інвесторів та здійснювався контроль за сплатою пайової участі замовників у створенні і розвитку інженерно-транспортної та соціальної інфраструктури міста Ніжина. З початку року укладено 5 договорів, по яким пайової участі надійшло до міського бюджету 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422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699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тис. грн. Готується проект «Положення про пайову участь замовників у створенні і розвитку інженерно-транспортної та соціальної інфраструктури м. Ніжина». 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:rsidR="006D4E37" w:rsidRPr="00F13FB4" w:rsidRDefault="006D4E37" w:rsidP="006D4E3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UMuni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Проводиться </w:t>
            </w:r>
            <w:r w:rsidRPr="00F13F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/>
              </w:rPr>
              <w:t>щотижневий  аналіз внесених показників по 120 об’єктам;</w:t>
            </w:r>
          </w:p>
          <w:p w:rsidR="006D4E37" w:rsidRPr="00F13FB4" w:rsidRDefault="006D4E37" w:rsidP="006D4E37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- 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розробці заходів з енергозбереження та енергоефективності для запровадження їх в бюджетній сфері міста Ніжина та аналіз виконання раніше запроваджених заходів. Підготовлено та висвітлено на сайті проект рішення «Про затвердження програми стимулювання до запровадження </w:t>
            </w:r>
            <w:proofErr w:type="spellStart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енергоефективних</w:t>
            </w:r>
            <w:proofErr w:type="spellEnd"/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заходів населення, об’єднань співвласників багатоквартирних будинків (ОСББ) та житлово-будівельних кооперативів (ЖБК) населених пунктів, що входять до складу Ніжинської міської об’єднаної територіальної громади</w:t>
            </w:r>
            <w:r w:rsidRPr="00F13FB4"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>н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 </w:t>
            </w:r>
            <w:r w:rsidRPr="00F13FB4">
              <w:rPr>
                <w:rFonts w:ascii="Times New Roman" w:hAnsi="Times New Roman"/>
                <w:spacing w:val="-1"/>
                <w:sz w:val="26"/>
                <w:szCs w:val="26"/>
                <w:lang w:val="uk-UA"/>
              </w:rPr>
              <w:t>20</w:t>
            </w:r>
            <w:r w:rsidRPr="00F13FB4"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>20 рі</w:t>
            </w:r>
            <w:r w:rsidRPr="00F13FB4">
              <w:rPr>
                <w:rFonts w:ascii="Times New Roman" w:hAnsi="Times New Roman"/>
                <w:sz w:val="26"/>
                <w:szCs w:val="26"/>
                <w:lang w:val="uk-UA"/>
              </w:rPr>
              <w:t>к».</w:t>
            </w:r>
          </w:p>
        </w:tc>
      </w:tr>
      <w:tr w:rsidR="00550DC7" w:rsidRPr="00F13FB4" w:rsidTr="00F13FB4">
        <w:trPr>
          <w:gridAfter w:val="1"/>
          <w:wAfter w:w="142" w:type="dxa"/>
          <w:trHeight w:val="1159"/>
        </w:trPr>
        <w:tc>
          <w:tcPr>
            <w:tcW w:w="9781" w:type="dxa"/>
            <w:gridSpan w:val="2"/>
            <w:shd w:val="clear" w:color="auto" w:fill="auto"/>
          </w:tcPr>
          <w:p w:rsidR="008463ED" w:rsidRPr="00F13FB4" w:rsidRDefault="008463ED" w:rsidP="00F13FB4">
            <w:pPr>
              <w:tabs>
                <w:tab w:val="left" w:pos="8931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П</w:t>
            </w:r>
            <w:r w:rsidRPr="00F13FB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рийняли участь у</w:t>
            </w:r>
          </w:p>
          <w:p w:rsidR="00550DC7" w:rsidRPr="00F13FB4" w:rsidRDefault="008463ED" w:rsidP="00F13FB4">
            <w:pPr>
              <w:pStyle w:val="1"/>
              <w:tabs>
                <w:tab w:val="left" w:pos="8931"/>
              </w:tabs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регіональному форумі ОСББ "Фінанси в ОСББ: як керувати правильно", що був організований за підтримки міжнародної організації ПРООН (</w:t>
            </w:r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HOUSES</w:t>
            </w:r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).</w:t>
            </w:r>
          </w:p>
        </w:tc>
      </w:tr>
      <w:tr w:rsidR="00550DC7" w:rsidRPr="00F13FB4" w:rsidTr="00BA0A78">
        <w:trPr>
          <w:gridAfter w:val="2"/>
          <w:wAfter w:w="393" w:type="dxa"/>
          <w:trHeight w:val="767"/>
        </w:trPr>
        <w:tc>
          <w:tcPr>
            <w:tcW w:w="9530" w:type="dxa"/>
            <w:shd w:val="clear" w:color="auto" w:fill="auto"/>
          </w:tcPr>
          <w:p w:rsidR="00550DC7" w:rsidRPr="00F13FB4" w:rsidRDefault="00F13FB4" w:rsidP="00F13FB4">
            <w:pPr>
              <w:pStyle w:val="1"/>
              <w:tabs>
                <w:tab w:val="left" w:pos="8931"/>
              </w:tabs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uk-UA"/>
              </w:rPr>
            </w:pP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 - </w:t>
            </w:r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навчанні в Чернігівському центрі перепідготовки та підвищення кваліфікації працівників за програмою "</w:t>
            </w:r>
            <w:proofErr w:type="spellStart"/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Енергоменеджмент</w:t>
            </w:r>
            <w:proofErr w:type="spellEnd"/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та підвищення </w:t>
            </w:r>
            <w:proofErr w:type="spellStart"/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енергоефективності-що</w:t>
            </w:r>
            <w:proofErr w:type="spellEnd"/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для цього потрібно".</w:t>
            </w:r>
            <w:r w:rsidR="00550DC7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550DC7" w:rsidRPr="00F13FB4" w:rsidTr="00BA0A78">
        <w:trPr>
          <w:gridAfter w:val="2"/>
          <w:wAfter w:w="393" w:type="dxa"/>
          <w:trHeight w:val="1159"/>
        </w:trPr>
        <w:tc>
          <w:tcPr>
            <w:tcW w:w="9530" w:type="dxa"/>
            <w:shd w:val="clear" w:color="auto" w:fill="auto"/>
          </w:tcPr>
          <w:p w:rsidR="00550DC7" w:rsidRPr="00F13FB4" w:rsidRDefault="00550DC7" w:rsidP="00F13FB4">
            <w:pPr>
              <w:pStyle w:val="1"/>
              <w:tabs>
                <w:tab w:val="left" w:pos="8931"/>
              </w:tabs>
              <w:spacing w:before="0" w:after="30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F13FB4"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 </w:t>
            </w: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три</w:t>
            </w:r>
            <w:proofErr w:type="spell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денн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ому</w:t>
            </w: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тренінг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у</w:t>
            </w: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в м. </w:t>
            </w:r>
            <w:proofErr w:type="spellStart"/>
            <w:proofErr w:type="gram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Чернігові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"Ант</w:t>
            </w: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и</w:t>
            </w:r>
            <w:proofErr w:type="spell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корупційні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м</w:t>
            </w:r>
            <w:proofErr w:type="spell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еханізми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сфері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освіти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медицини</w:t>
            </w:r>
            <w:proofErr w:type="spellEnd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"</w:t>
            </w:r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в рамках проекту «Децентралізація приносить прозорість та ефективність в освіті та меди</w:t>
            </w:r>
            <w:bookmarkStart w:id="0" w:name="_GoBack"/>
            <w:bookmarkEnd w:id="0"/>
            <w:r w:rsidRPr="00F13FB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цині».</w:t>
            </w:r>
            <w:proofErr w:type="gramEnd"/>
          </w:p>
          <w:p w:rsidR="00550DC7" w:rsidRDefault="00F13FB4" w:rsidP="00F13FB4">
            <w:pPr>
              <w:tabs>
                <w:tab w:val="left" w:pos="8931"/>
              </w:tabs>
              <w:ind w:left="-531" w:firstLine="71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заході «Кращі практики громад  Чернігівщини» у «Центрі розвитку місцевого самоврядування» Програми «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U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l</w:t>
            </w:r>
            <w:proofErr w:type="spellStart"/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Lead</w:t>
            </w:r>
            <w:proofErr w:type="spellEnd"/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з Європою», де було презентовано 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="00550DC7" w:rsidRPr="00F13FB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Стратегію розвитку Ніжинської міської об’єднаної територіальної громади до 2027 року.</w:t>
            </w:r>
          </w:p>
          <w:p w:rsidR="00EB574F" w:rsidRPr="00F13FB4" w:rsidRDefault="00EB574F" w:rsidP="00F13FB4">
            <w:pPr>
              <w:tabs>
                <w:tab w:val="left" w:pos="8931"/>
              </w:tabs>
              <w:ind w:left="-531" w:firstLine="71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172309" w:rsidRPr="00F13FB4" w:rsidRDefault="009F1BED" w:rsidP="00EB574F">
      <w:pPr>
        <w:tabs>
          <w:tab w:val="left" w:pos="8931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172309" w:rsidRPr="00F13FB4">
        <w:rPr>
          <w:rFonts w:ascii="Times New Roman" w:hAnsi="Times New Roman" w:cs="Times New Roman"/>
          <w:b/>
          <w:sz w:val="26"/>
          <w:szCs w:val="26"/>
          <w:lang w:val="uk-UA"/>
        </w:rPr>
        <w:t>Продовжу</w:t>
      </w:r>
      <w:r w:rsidRPr="00F13FB4">
        <w:rPr>
          <w:rFonts w:ascii="Times New Roman" w:hAnsi="Times New Roman" w:cs="Times New Roman"/>
          <w:b/>
          <w:sz w:val="26"/>
          <w:szCs w:val="26"/>
          <w:lang w:val="uk-UA"/>
        </w:rPr>
        <w:t>є</w:t>
      </w:r>
      <w:r w:rsidR="00172309" w:rsidRPr="00F13FB4">
        <w:rPr>
          <w:rFonts w:ascii="Times New Roman" w:hAnsi="Times New Roman" w:cs="Times New Roman"/>
          <w:b/>
          <w:sz w:val="26"/>
          <w:szCs w:val="26"/>
          <w:lang w:val="uk-UA"/>
        </w:rPr>
        <w:t>ться</w:t>
      </w:r>
      <w:r w:rsidR="00172309"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обстеження суб’єктів господарювання, які займаються</w:t>
      </w:r>
    </w:p>
    <w:p w:rsidR="00172309" w:rsidRPr="00F13FB4" w:rsidRDefault="00172309" w:rsidP="00EB574F">
      <w:pPr>
        <w:tabs>
          <w:tab w:val="left" w:pos="8931"/>
          <w:tab w:val="left" w:pos="900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>торгівлею, наданням побутових послуг чи здійснюють діяльність у</w:t>
      </w:r>
      <w:r w:rsidR="00EB57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>ресторанному господарстві на предмет оформлення «Куточка споживача»</w:t>
      </w:r>
      <w:r w:rsidR="00EB574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72309" w:rsidRPr="00F13FB4" w:rsidRDefault="00172309" w:rsidP="00EB574F">
      <w:pPr>
        <w:tabs>
          <w:tab w:val="left" w:pos="8931"/>
          <w:tab w:val="left" w:pos="900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>Під час моніторингу проводиться роз’яснювальна робота</w:t>
      </w:r>
      <w:r w:rsidR="00EB57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з підприємцями щодо вимог, закріплених в Законі України </w:t>
      </w:r>
      <w:proofErr w:type="spellStart"/>
      <w:r w:rsidRPr="00F13FB4">
        <w:rPr>
          <w:rFonts w:ascii="Times New Roman" w:hAnsi="Times New Roman" w:cs="Times New Roman"/>
          <w:sz w:val="26"/>
          <w:szCs w:val="26"/>
          <w:lang w:val="uk-UA"/>
        </w:rPr>
        <w:t>“Про</w:t>
      </w:r>
      <w:proofErr w:type="spellEnd"/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захист прав</w:t>
      </w:r>
      <w:r w:rsidR="00EB57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  <w:lang w:val="uk-UA"/>
        </w:rPr>
        <w:t>споживачів”</w:t>
      </w:r>
      <w:proofErr w:type="spellEnd"/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  і Порядку провадження торгівельної діяльності з наданням</w:t>
      </w:r>
      <w:r w:rsidR="00EB57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>інформаційних повідомлень стосовно наявності, правильності наповнення</w:t>
      </w:r>
      <w:r w:rsidR="00EB57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>«Куточка споживача» та практичними рекомендаціями щодо дотримання</w:t>
      </w:r>
      <w:r w:rsidR="00EB57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>чинного законодавства в сфері захисту прав споживачів.</w:t>
      </w:r>
    </w:p>
    <w:p w:rsidR="00172309" w:rsidRPr="00F13FB4" w:rsidRDefault="00172309" w:rsidP="00EB574F">
      <w:pPr>
        <w:tabs>
          <w:tab w:val="left" w:pos="8931"/>
          <w:tab w:val="left" w:pos="900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Оприлюднюється та розміщується в об’єктах торгівлі </w:t>
      </w:r>
      <w:proofErr w:type="spellStart"/>
      <w:r w:rsidRPr="00F13FB4">
        <w:rPr>
          <w:rFonts w:ascii="Times New Roman" w:hAnsi="Times New Roman" w:cs="Times New Roman"/>
          <w:sz w:val="26"/>
          <w:szCs w:val="26"/>
          <w:lang w:val="uk-UA"/>
        </w:rPr>
        <w:t>знак-логотип«Чернігівщина</w:t>
      </w:r>
      <w:proofErr w:type="spellEnd"/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, купуй рідне» для маркування місцевих товаровиробників </w:t>
      </w:r>
      <w:proofErr w:type="spellStart"/>
      <w:r w:rsidRPr="00F13FB4">
        <w:rPr>
          <w:rFonts w:ascii="Times New Roman" w:hAnsi="Times New Roman" w:cs="Times New Roman"/>
          <w:sz w:val="26"/>
          <w:szCs w:val="26"/>
          <w:lang w:val="uk-UA"/>
        </w:rPr>
        <w:t>врамках</w:t>
      </w:r>
      <w:proofErr w:type="spellEnd"/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Обласної Програми розвитку малого і середнього підприємництва.</w:t>
      </w:r>
    </w:p>
    <w:p w:rsidR="00172309" w:rsidRDefault="00172309" w:rsidP="00EB574F">
      <w:pPr>
        <w:tabs>
          <w:tab w:val="left" w:pos="8931"/>
          <w:tab w:val="left" w:pos="900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>Надання консультації мешканцям міста з питань прав споживачів.</w:t>
      </w:r>
    </w:p>
    <w:p w:rsidR="00EB574F" w:rsidRPr="00F13FB4" w:rsidRDefault="00EB574F" w:rsidP="00EB574F">
      <w:pPr>
        <w:tabs>
          <w:tab w:val="left" w:pos="8931"/>
          <w:tab w:val="left" w:pos="900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74F">
        <w:rPr>
          <w:rFonts w:ascii="Times New Roman" w:hAnsi="Times New Roman" w:cs="Times New Roman"/>
          <w:sz w:val="26"/>
          <w:szCs w:val="26"/>
          <w:lang w:val="uk-UA"/>
        </w:rPr>
        <w:t>Розміщено матеріал на офіційному сайті у сфері захисту прав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574F">
        <w:rPr>
          <w:rFonts w:ascii="Times New Roman" w:hAnsi="Times New Roman" w:cs="Times New Roman"/>
          <w:sz w:val="26"/>
          <w:szCs w:val="26"/>
          <w:lang w:val="uk-UA"/>
        </w:rPr>
        <w:t>споживачів – інформація, яка повинна розміщуватись в аптеках для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574F">
        <w:rPr>
          <w:rFonts w:ascii="Times New Roman" w:hAnsi="Times New Roman" w:cs="Times New Roman"/>
          <w:sz w:val="26"/>
          <w:szCs w:val="26"/>
          <w:lang w:val="uk-UA"/>
        </w:rPr>
        <w:t>споживачів.</w:t>
      </w:r>
    </w:p>
    <w:p w:rsidR="006D4E37" w:rsidRPr="00F13FB4" w:rsidRDefault="006D4E37" w:rsidP="00F13FB4">
      <w:pPr>
        <w:tabs>
          <w:tab w:val="left" w:pos="8931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</w:p>
    <w:p w:rsidR="006D4E37" w:rsidRPr="00F13FB4" w:rsidRDefault="006D4E37" w:rsidP="00EB574F">
      <w:pPr>
        <w:tabs>
          <w:tab w:val="left" w:pos="8931"/>
          <w:tab w:val="left" w:pos="90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Здійснюється моніторинг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інвестиційних та грантових пропозицій, інформація надається зацікавленим особам та розміщується в ЗМІ міста та на </w:t>
      </w:r>
      <w:proofErr w:type="spellStart"/>
      <w:r w:rsidRPr="00F13FB4">
        <w:rPr>
          <w:rFonts w:ascii="Times New Roman" w:hAnsi="Times New Roman" w:cs="Times New Roman"/>
          <w:sz w:val="26"/>
          <w:szCs w:val="26"/>
          <w:lang w:val="uk-UA"/>
        </w:rPr>
        <w:t>фейсбук</w:t>
      </w:r>
      <w:proofErr w:type="spellEnd"/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сторінці сектору з назвою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Ніжин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Інвестиційний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(12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>).</w:t>
      </w:r>
    </w:p>
    <w:p w:rsidR="006D4E37" w:rsidRPr="00F13FB4" w:rsidRDefault="006D4E37" w:rsidP="00EB574F">
      <w:pPr>
        <w:tabs>
          <w:tab w:val="left" w:pos="8931"/>
          <w:tab w:val="left" w:pos="90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80B69" w:rsidRPr="00F13FB4" w:rsidRDefault="00D80B69" w:rsidP="00F13FB4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</w:pPr>
      <w:r w:rsidRPr="00F13FB4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Забезпечено участь  в комісіях</w:t>
      </w:r>
      <w:r w:rsidRPr="00F13FB4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:</w:t>
      </w:r>
    </w:p>
    <w:p w:rsidR="00D80B69" w:rsidRPr="00F13FB4" w:rsidRDefault="00D80B69" w:rsidP="00F13FB4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r w:rsidRPr="00F13FB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F13FB4">
        <w:rPr>
          <w:rFonts w:ascii="Times New Roman" w:eastAsia="Calibri" w:hAnsi="Times New Roman" w:cs="Times New Roman"/>
          <w:sz w:val="26"/>
          <w:szCs w:val="26"/>
        </w:rPr>
        <w:t>адмін</w:t>
      </w:r>
      <w:r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істративній</w:t>
      </w:r>
      <w:proofErr w:type="spellEnd"/>
      <w:r w:rsidRPr="00F13FB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F13FB4">
        <w:rPr>
          <w:rFonts w:ascii="Times New Roman" w:eastAsia="Calibri" w:hAnsi="Times New Roman" w:cs="Times New Roman"/>
          <w:sz w:val="26"/>
          <w:szCs w:val="26"/>
        </w:rPr>
        <w:t>комі</w:t>
      </w:r>
      <w:proofErr w:type="gramStart"/>
      <w:r w:rsidRPr="00F13FB4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F13FB4">
        <w:rPr>
          <w:rFonts w:ascii="Times New Roman" w:eastAsia="Calibri" w:hAnsi="Times New Roman" w:cs="Times New Roman"/>
          <w:sz w:val="26"/>
          <w:szCs w:val="26"/>
        </w:rPr>
        <w:t>ії</w:t>
      </w:r>
      <w:proofErr w:type="spellEnd"/>
      <w:r w:rsidRPr="00F13FB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D80B69" w:rsidRPr="00F13FB4" w:rsidRDefault="00D80B69" w:rsidP="00F13FB4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FB4"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proofErr w:type="spellStart"/>
      <w:r w:rsidRPr="00F13FB4">
        <w:rPr>
          <w:rFonts w:ascii="Times New Roman" w:eastAsia="Calibri" w:hAnsi="Times New Roman" w:cs="Times New Roman"/>
          <w:sz w:val="26"/>
          <w:szCs w:val="26"/>
        </w:rPr>
        <w:t>допорогових</w:t>
      </w:r>
      <w:proofErr w:type="spellEnd"/>
      <w:r w:rsidRPr="00F13F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eastAsia="Calibri" w:hAnsi="Times New Roman" w:cs="Times New Roman"/>
          <w:sz w:val="26"/>
          <w:szCs w:val="26"/>
        </w:rPr>
        <w:t>закупівлях</w:t>
      </w:r>
      <w:proofErr w:type="spellEnd"/>
      <w:r w:rsidRPr="00F13FB4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80B69" w:rsidRPr="00F13FB4" w:rsidRDefault="00D80B69" w:rsidP="00D80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F13FB4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заборгованості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заробітної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плати</w:t>
      </w:r>
    </w:p>
    <w:p w:rsidR="00D80B69" w:rsidRPr="00F13FB4" w:rsidRDefault="00D80B69" w:rsidP="00D80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</w:rPr>
        <w:t xml:space="preserve"> 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F13FB4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засіданні</w:t>
      </w:r>
      <w:proofErr w:type="spellEnd"/>
      <w:r w:rsidRPr="00F13FB4">
        <w:rPr>
          <w:rFonts w:ascii="Times New Roman" w:hAnsi="Times New Roman" w:cs="Times New Roman"/>
          <w:sz w:val="26"/>
          <w:szCs w:val="26"/>
        </w:rPr>
        <w:t xml:space="preserve"> тендерного </w:t>
      </w:r>
      <w:proofErr w:type="spellStart"/>
      <w:r w:rsidRPr="00F13FB4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EB574F" w:rsidRDefault="00EB574F" w:rsidP="00D80B69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D80B69" w:rsidRPr="00F13FB4" w:rsidRDefault="00D80B69" w:rsidP="00EB57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  Опрацьовані </w:t>
      </w:r>
      <w:r w:rsidR="00F13FB4" w:rsidRPr="00F13FB4">
        <w:rPr>
          <w:rFonts w:ascii="Times New Roman" w:hAnsi="Times New Roman" w:cs="Times New Roman"/>
          <w:sz w:val="26"/>
          <w:szCs w:val="26"/>
          <w:lang w:val="uk-UA"/>
        </w:rPr>
        <w:t>69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документів з різних інстанцій та розглянуті </w:t>
      </w:r>
      <w:r w:rsidR="002C6740" w:rsidRPr="00F13FB4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F13FB4">
        <w:rPr>
          <w:rFonts w:ascii="Times New Roman" w:hAnsi="Times New Roman" w:cs="Times New Roman"/>
          <w:sz w:val="26"/>
          <w:szCs w:val="26"/>
          <w:lang w:val="uk-UA"/>
        </w:rPr>
        <w:t xml:space="preserve"> скарг по яким надані відповіді.</w:t>
      </w:r>
    </w:p>
    <w:p w:rsidR="00D80B69" w:rsidRPr="00F13FB4" w:rsidRDefault="00D80B69" w:rsidP="00D80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80B69" w:rsidRPr="00F13FB4" w:rsidRDefault="00F13FB4" w:rsidP="00D80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3FB4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Pr="00F13FB4">
        <w:rPr>
          <w:rFonts w:ascii="Times New Roman" w:hAnsi="Times New Roman" w:cs="Times New Roman"/>
          <w:sz w:val="26"/>
          <w:szCs w:val="26"/>
          <w:lang w:val="uk-UA"/>
        </w:rPr>
        <w:t>. н</w:t>
      </w:r>
      <w:proofErr w:type="spellStart"/>
      <w:r w:rsidR="00D80B69" w:rsidRPr="00F13FB4">
        <w:rPr>
          <w:rFonts w:ascii="Times New Roman" w:hAnsi="Times New Roman" w:cs="Times New Roman"/>
          <w:sz w:val="26"/>
          <w:szCs w:val="26"/>
        </w:rPr>
        <w:t>ачальник</w:t>
      </w:r>
      <w:proofErr w:type="spellEnd"/>
      <w:r w:rsidRPr="00F13FB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D80B69"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B69" w:rsidRPr="00F13FB4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D80B69" w:rsidRPr="00F1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B69" w:rsidRPr="00F13FB4">
        <w:rPr>
          <w:rFonts w:ascii="Times New Roman" w:hAnsi="Times New Roman" w:cs="Times New Roman"/>
          <w:sz w:val="26"/>
          <w:szCs w:val="26"/>
        </w:rPr>
        <w:t>економіки</w:t>
      </w:r>
      <w:proofErr w:type="spellEnd"/>
      <w:r w:rsidR="00D80B69" w:rsidRPr="00F13FB4">
        <w:rPr>
          <w:rFonts w:ascii="Times New Roman" w:hAnsi="Times New Roman" w:cs="Times New Roman"/>
          <w:sz w:val="26"/>
          <w:szCs w:val="26"/>
        </w:rPr>
        <w:t xml:space="preserve">                                                 Т.М. </w:t>
      </w:r>
      <w:proofErr w:type="spellStart"/>
      <w:r w:rsidR="00D80B69" w:rsidRPr="00F13FB4">
        <w:rPr>
          <w:rFonts w:ascii="Times New Roman" w:hAnsi="Times New Roman" w:cs="Times New Roman"/>
          <w:sz w:val="26"/>
          <w:szCs w:val="26"/>
        </w:rPr>
        <w:t>Гавриш</w:t>
      </w:r>
      <w:proofErr w:type="spellEnd"/>
    </w:p>
    <w:p w:rsidR="00D80B69" w:rsidRPr="00F13FB4" w:rsidRDefault="00F13FB4" w:rsidP="00D80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3FB4">
        <w:rPr>
          <w:rFonts w:ascii="Times New Roman" w:hAnsi="Times New Roman" w:cs="Times New Roman"/>
          <w:sz w:val="26"/>
          <w:szCs w:val="26"/>
          <w:lang w:val="uk-UA"/>
        </w:rPr>
        <w:t>та інвестиційної діяльності</w:t>
      </w:r>
    </w:p>
    <w:p w:rsidR="00D80B69" w:rsidRPr="00F13FB4" w:rsidRDefault="00D80B69" w:rsidP="00D80B69">
      <w:pPr>
        <w:tabs>
          <w:tab w:val="left" w:pos="851"/>
        </w:tabs>
        <w:spacing w:after="160" w:line="254" w:lineRule="auto"/>
        <w:jc w:val="both"/>
        <w:rPr>
          <w:rFonts w:eastAsia="Calibri"/>
          <w:sz w:val="26"/>
          <w:szCs w:val="26"/>
          <w:lang w:val="uk-UA"/>
        </w:rPr>
      </w:pPr>
    </w:p>
    <w:p w:rsidR="00D80B69" w:rsidRPr="00F13FB4" w:rsidRDefault="00D80B69" w:rsidP="00D80B69">
      <w:pPr>
        <w:ind w:firstLine="540"/>
        <w:jc w:val="both"/>
        <w:rPr>
          <w:sz w:val="26"/>
          <w:szCs w:val="26"/>
          <w:lang w:val="uk-UA"/>
        </w:rPr>
      </w:pPr>
    </w:p>
    <w:p w:rsidR="00D80B69" w:rsidRPr="00F13FB4" w:rsidRDefault="00D80B69" w:rsidP="00D80B69">
      <w:pPr>
        <w:ind w:firstLine="540"/>
        <w:jc w:val="both"/>
        <w:rPr>
          <w:sz w:val="26"/>
          <w:szCs w:val="26"/>
          <w:lang w:val="uk-UA"/>
        </w:rPr>
      </w:pPr>
    </w:p>
    <w:p w:rsidR="00D80B69" w:rsidRPr="00F13FB4" w:rsidRDefault="00D80B69" w:rsidP="00D80B69">
      <w:pPr>
        <w:jc w:val="both"/>
        <w:rPr>
          <w:sz w:val="26"/>
          <w:szCs w:val="26"/>
        </w:rPr>
      </w:pPr>
      <w:r w:rsidRPr="00F13FB4">
        <w:rPr>
          <w:bCs/>
          <w:spacing w:val="-2"/>
          <w:sz w:val="26"/>
          <w:szCs w:val="26"/>
        </w:rPr>
        <w:tab/>
      </w:r>
    </w:p>
    <w:p w:rsidR="00D80B69" w:rsidRPr="00F13FB4" w:rsidRDefault="00D80B69" w:rsidP="00D80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B69" w:rsidRPr="00F13FB4" w:rsidRDefault="00D80B69" w:rsidP="00D80B69">
      <w:pPr>
        <w:rPr>
          <w:sz w:val="26"/>
          <w:szCs w:val="26"/>
        </w:rPr>
      </w:pPr>
    </w:p>
    <w:p w:rsidR="00B17043" w:rsidRPr="00F13FB4" w:rsidRDefault="00B17043">
      <w:pPr>
        <w:rPr>
          <w:sz w:val="26"/>
          <w:szCs w:val="26"/>
        </w:rPr>
      </w:pPr>
    </w:p>
    <w:sectPr w:rsidR="00B17043" w:rsidRPr="00F13FB4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A6C50"/>
    <w:multiLevelType w:val="hybridMultilevel"/>
    <w:tmpl w:val="0D6642D8"/>
    <w:lvl w:ilvl="0" w:tplc="7F0A27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0B69"/>
    <w:rsid w:val="00044CAC"/>
    <w:rsid w:val="00070BA6"/>
    <w:rsid w:val="001543FA"/>
    <w:rsid w:val="00172309"/>
    <w:rsid w:val="002713C8"/>
    <w:rsid w:val="002B7CF1"/>
    <w:rsid w:val="002C6740"/>
    <w:rsid w:val="00306119"/>
    <w:rsid w:val="0035102E"/>
    <w:rsid w:val="00550DC7"/>
    <w:rsid w:val="00582C3B"/>
    <w:rsid w:val="005C32CE"/>
    <w:rsid w:val="006D4E37"/>
    <w:rsid w:val="008463ED"/>
    <w:rsid w:val="00922D5C"/>
    <w:rsid w:val="009816A9"/>
    <w:rsid w:val="009F1BED"/>
    <w:rsid w:val="00B17043"/>
    <w:rsid w:val="00D80B69"/>
    <w:rsid w:val="00D84E03"/>
    <w:rsid w:val="00E73F6E"/>
    <w:rsid w:val="00EB574F"/>
    <w:rsid w:val="00F13FB4"/>
    <w:rsid w:val="00F721A5"/>
    <w:rsid w:val="00FB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69"/>
  </w:style>
  <w:style w:type="paragraph" w:styleId="1">
    <w:name w:val="heading 1"/>
    <w:basedOn w:val="a"/>
    <w:next w:val="a"/>
    <w:link w:val="10"/>
    <w:uiPriority w:val="9"/>
    <w:qFormat/>
    <w:rsid w:val="00550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0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50DC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table" w:styleId="a4">
    <w:name w:val="Table Grid"/>
    <w:basedOn w:val="a1"/>
    <w:rsid w:val="00550DC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550DC7"/>
  </w:style>
  <w:style w:type="character" w:customStyle="1" w:styleId="hps">
    <w:name w:val="hps"/>
    <w:basedOn w:val="a0"/>
    <w:rsid w:val="00550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3FBD0-65ED-43E5-B5AB-0A67A230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2019-11-28T14:49:00Z</dcterms:created>
  <dcterms:modified xsi:type="dcterms:W3CDTF">2019-11-29T09:43:00Z</dcterms:modified>
</cp:coreProperties>
</file>